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F7104AC" w:rsidR="00052A21" w:rsidRPr="001531BA" w:rsidRDefault="008D5F18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30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F7743CC" w14:textId="5E51EA6A" w:rsidR="005A03A9" w:rsidRPr="0079056D" w:rsidRDefault="005A03A9" w:rsidP="005A03A9">
      <w:pPr>
        <w:pStyle w:val="elementtoproof"/>
        <w:shd w:val="clear" w:color="auto" w:fill="FFFFFF"/>
        <w:jc w:val="both"/>
        <w:rPr>
          <w:rFonts w:ascii="Arial" w:hAnsi="Arial" w:cs="Arial"/>
          <w:color w:val="242424"/>
          <w:sz w:val="22"/>
          <w:szCs w:val="22"/>
        </w:rPr>
      </w:pPr>
      <w:r w:rsidRPr="0079056D">
        <w:rPr>
          <w:rFonts w:ascii="Arial" w:hAnsi="Arial" w:cs="Arial"/>
          <w:color w:val="242424"/>
          <w:sz w:val="22"/>
          <w:szCs w:val="22"/>
        </w:rPr>
        <w:t>În urma deciziei Parchetului de pe lângă Curtea de Apel București prin care s-a adus la cunoștința Distrigaz Sud Rețele calitatea de suspect în cadrul anchetei deschise ca urmare a exploziei produse în cartierul Rahova, la data de 17 octombrie</w:t>
      </w:r>
      <w:r w:rsidR="00A021D9">
        <w:rPr>
          <w:rFonts w:ascii="Arial" w:hAnsi="Arial" w:cs="Arial"/>
          <w:color w:val="242424"/>
          <w:sz w:val="22"/>
          <w:szCs w:val="22"/>
        </w:rPr>
        <w:t xml:space="preserve"> 2025</w:t>
      </w:r>
      <w:r w:rsidRPr="0079056D">
        <w:rPr>
          <w:rFonts w:ascii="Arial" w:hAnsi="Arial" w:cs="Arial"/>
          <w:color w:val="242424"/>
          <w:sz w:val="22"/>
          <w:szCs w:val="22"/>
        </w:rPr>
        <w:t>, ne exprimăm mai jos, cu responsabilitate, poziția.</w:t>
      </w:r>
    </w:p>
    <w:p w14:paraId="2D70BFBA" w14:textId="77777777" w:rsidR="005A03A9" w:rsidRPr="0079056D" w:rsidRDefault="005A03A9" w:rsidP="005A03A9">
      <w:pPr>
        <w:pStyle w:val="elementtoproof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59781B82" w14:textId="77777777" w:rsidR="005A03A9" w:rsidRPr="0079056D" w:rsidRDefault="005A03A9" w:rsidP="005A03A9">
      <w:pPr>
        <w:pStyle w:val="elementtoproof"/>
        <w:shd w:val="clear" w:color="auto" w:fill="FFFFFF"/>
        <w:jc w:val="both"/>
        <w:rPr>
          <w:rFonts w:ascii="Arial" w:hAnsi="Arial" w:cs="Arial"/>
          <w:color w:val="242424"/>
          <w:sz w:val="22"/>
          <w:szCs w:val="22"/>
        </w:rPr>
      </w:pPr>
      <w:r w:rsidRPr="0079056D">
        <w:rPr>
          <w:rFonts w:ascii="Arial" w:hAnsi="Arial" w:cs="Arial"/>
          <w:color w:val="242424"/>
          <w:sz w:val="22"/>
          <w:szCs w:val="22"/>
        </w:rPr>
        <w:t xml:space="preserve">Înainte de toate, </w:t>
      </w:r>
      <w:r w:rsidRPr="0079056D">
        <w:rPr>
          <w:rFonts w:ascii="Arial" w:hAnsi="Arial" w:cs="Arial"/>
          <w:b/>
          <w:bCs/>
          <w:color w:val="242424"/>
          <w:sz w:val="22"/>
          <w:szCs w:val="22"/>
        </w:rPr>
        <w:t>ne reafirmăm profunda solidaritate</w:t>
      </w:r>
      <w:r w:rsidRPr="0079056D">
        <w:rPr>
          <w:rFonts w:ascii="Arial" w:hAnsi="Arial" w:cs="Arial"/>
          <w:color w:val="242424"/>
          <w:sz w:val="22"/>
          <w:szCs w:val="22"/>
        </w:rPr>
        <w:t xml:space="preserve"> </w:t>
      </w:r>
      <w:r w:rsidRPr="0079056D">
        <w:rPr>
          <w:rFonts w:ascii="Arial" w:hAnsi="Arial" w:cs="Arial"/>
          <w:b/>
          <w:bCs/>
          <w:color w:val="242424"/>
          <w:sz w:val="22"/>
          <w:szCs w:val="22"/>
        </w:rPr>
        <w:t>față de familiile victimelor, apropiații acestora și toate persoanele afectate de această tragedie</w:t>
      </w:r>
      <w:r w:rsidRPr="0079056D">
        <w:rPr>
          <w:rFonts w:ascii="Arial" w:hAnsi="Arial" w:cs="Arial"/>
          <w:color w:val="242424"/>
          <w:sz w:val="22"/>
          <w:szCs w:val="22"/>
        </w:rPr>
        <w:t xml:space="preserve">. Trei vieți au fost pierdute, alți oameni au fost răniți, iar această durere ne obligă să dăm dovadă de cea mai mare transparență și de un simț profund al responsabilității. </w:t>
      </w:r>
    </w:p>
    <w:p w14:paraId="6FC43B5E" w14:textId="77777777" w:rsidR="005A03A9" w:rsidRPr="0079056D" w:rsidRDefault="005A03A9" w:rsidP="005A03A9">
      <w:pPr>
        <w:pStyle w:val="elementtoproof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562669A0" w14:textId="77777777" w:rsidR="005A03A9" w:rsidRPr="0079056D" w:rsidRDefault="005A03A9" w:rsidP="005A03A9">
      <w:pPr>
        <w:pStyle w:val="elementtoproof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9056D">
        <w:rPr>
          <w:rFonts w:ascii="Arial" w:hAnsi="Arial" w:cs="Arial"/>
          <w:color w:val="242424"/>
          <w:sz w:val="22"/>
          <w:szCs w:val="22"/>
        </w:rPr>
        <w:t>În același timp, reamintim că experții desemnați în cadrul anchetei analizează cauzele exacte ale exploziei -</w:t>
      </w:r>
      <w:r>
        <w:rPr>
          <w:rFonts w:ascii="Arial" w:hAnsi="Arial" w:cs="Arial"/>
          <w:color w:val="242424"/>
          <w:sz w:val="22"/>
          <w:szCs w:val="22"/>
        </w:rPr>
        <w:t xml:space="preserve"> </w:t>
      </w:r>
      <w:r w:rsidRPr="0079056D">
        <w:rPr>
          <w:rFonts w:ascii="Arial" w:hAnsi="Arial" w:cs="Arial"/>
          <w:color w:val="242424"/>
          <w:sz w:val="22"/>
          <w:szCs w:val="22"/>
        </w:rPr>
        <w:t xml:space="preserve">care nu au fost încă stabilite, putând fi implicați o multitudine de factori, așa cum a fost arătat în spațiul public. </w:t>
      </w:r>
      <w:r w:rsidRPr="0079056D">
        <w:rPr>
          <w:rFonts w:ascii="Arial" w:hAnsi="Arial" w:cs="Arial"/>
          <w:color w:val="242424"/>
        </w:rPr>
        <w:t>Î</w:t>
      </w:r>
      <w:r w:rsidRPr="0079056D">
        <w:rPr>
          <w:rFonts w:ascii="Arial" w:hAnsi="Arial" w:cs="Arial"/>
          <w:color w:val="242424"/>
          <w:sz w:val="22"/>
          <w:szCs w:val="22"/>
        </w:rPr>
        <w:t>n acest moment, nu fost emisă nicio concluzie tehnică definitivă privind cauzele incidentului.</w:t>
      </w:r>
    </w:p>
    <w:p w14:paraId="1AAF0F4C" w14:textId="77777777" w:rsidR="005A03A9" w:rsidRPr="0079056D" w:rsidRDefault="005A03A9" w:rsidP="005A03A9">
      <w:pPr>
        <w:pStyle w:val="elementtoproof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9056D">
        <w:rPr>
          <w:rFonts w:ascii="Arial" w:hAnsi="Arial" w:cs="Arial"/>
          <w:color w:val="242424"/>
          <w:sz w:val="22"/>
          <w:szCs w:val="22"/>
        </w:rPr>
        <w:t> </w:t>
      </w:r>
    </w:p>
    <w:p w14:paraId="48EA86DD" w14:textId="77777777" w:rsidR="005A03A9" w:rsidRPr="0079056D" w:rsidRDefault="005A03A9" w:rsidP="005A03A9">
      <w:pPr>
        <w:pStyle w:val="elementtoproof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9056D">
        <w:rPr>
          <w:rFonts w:ascii="Arial" w:hAnsi="Arial" w:cs="Arial"/>
          <w:color w:val="242424"/>
          <w:sz w:val="22"/>
          <w:szCs w:val="22"/>
        </w:rPr>
        <w:t xml:space="preserve">Reafirmăm că </w:t>
      </w:r>
      <w:r w:rsidRPr="0079056D">
        <w:rPr>
          <w:rFonts w:ascii="Arial" w:hAnsi="Arial" w:cs="Arial"/>
          <w:b/>
          <w:bCs/>
          <w:color w:val="242424"/>
          <w:sz w:val="22"/>
          <w:szCs w:val="22"/>
        </w:rPr>
        <w:t>am acționat și acționăm în conformitate cu normele legale și cu obligațiile de siguranță</w:t>
      </w:r>
      <w:r w:rsidRPr="0079056D">
        <w:rPr>
          <w:rFonts w:ascii="Arial" w:hAnsi="Arial" w:cs="Arial"/>
          <w:color w:val="242424"/>
          <w:sz w:val="22"/>
          <w:szCs w:val="22"/>
        </w:rPr>
        <w:t xml:space="preserve"> </w:t>
      </w:r>
      <w:r w:rsidRPr="0079056D">
        <w:rPr>
          <w:rFonts w:ascii="Arial" w:hAnsi="Arial" w:cs="Arial"/>
          <w:b/>
          <w:bCs/>
          <w:color w:val="242424"/>
          <w:sz w:val="22"/>
          <w:szCs w:val="22"/>
        </w:rPr>
        <w:t>care reglementează activitatea noastră</w:t>
      </w:r>
      <w:r w:rsidRPr="0079056D">
        <w:rPr>
          <w:rFonts w:ascii="Arial" w:hAnsi="Arial" w:cs="Arial"/>
          <w:color w:val="242424"/>
          <w:sz w:val="22"/>
          <w:szCs w:val="22"/>
        </w:rPr>
        <w:t>.</w:t>
      </w:r>
    </w:p>
    <w:p w14:paraId="6844A539" w14:textId="77777777" w:rsidR="005A03A9" w:rsidRPr="0079056D" w:rsidRDefault="005A03A9" w:rsidP="005A03A9">
      <w:pPr>
        <w:pStyle w:val="elementtoproof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9056D">
        <w:rPr>
          <w:rFonts w:ascii="Arial" w:hAnsi="Arial" w:cs="Arial"/>
          <w:color w:val="242424"/>
          <w:sz w:val="22"/>
          <w:szCs w:val="22"/>
        </w:rPr>
        <w:t> </w:t>
      </w:r>
    </w:p>
    <w:p w14:paraId="2C836CDA" w14:textId="77777777" w:rsidR="005A03A9" w:rsidRPr="0079056D" w:rsidRDefault="005A03A9" w:rsidP="005A03A9">
      <w:pPr>
        <w:pStyle w:val="elementtoproof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9056D">
        <w:rPr>
          <w:rFonts w:ascii="Arial" w:hAnsi="Arial" w:cs="Arial"/>
          <w:color w:val="242424"/>
          <w:sz w:val="22"/>
          <w:szCs w:val="22"/>
        </w:rPr>
        <w:t>Avem încredere în statul de drept și în capacitatea justiției de a desfășura o anchetă riguroasă, imparțială și aprofundată, care să stabilească responsabilitățile pe baza faptelor și a legislației aplicabile.</w:t>
      </w:r>
    </w:p>
    <w:p w14:paraId="48F3A550" w14:textId="77777777" w:rsidR="005A03A9" w:rsidRPr="0079056D" w:rsidRDefault="005A03A9" w:rsidP="005A03A9">
      <w:pPr>
        <w:pStyle w:val="elementtoproof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9056D">
        <w:rPr>
          <w:rFonts w:ascii="Arial" w:hAnsi="Arial" w:cs="Arial"/>
          <w:color w:val="242424"/>
          <w:sz w:val="22"/>
          <w:szCs w:val="22"/>
        </w:rPr>
        <w:t> </w:t>
      </w:r>
    </w:p>
    <w:p w14:paraId="4619B7CB" w14:textId="77777777" w:rsidR="005A03A9" w:rsidRPr="0079056D" w:rsidRDefault="005A03A9" w:rsidP="005A03A9">
      <w:pPr>
        <w:pStyle w:val="elementtoproof"/>
        <w:shd w:val="clear" w:color="auto" w:fill="FFFFFF"/>
        <w:jc w:val="both"/>
        <w:rPr>
          <w:rFonts w:ascii="Arial" w:hAnsi="Arial" w:cs="Arial"/>
          <w:b/>
          <w:bCs/>
          <w:color w:val="242424"/>
          <w:sz w:val="22"/>
          <w:szCs w:val="22"/>
        </w:rPr>
      </w:pPr>
      <w:r w:rsidRPr="0079056D">
        <w:rPr>
          <w:rFonts w:ascii="Arial" w:hAnsi="Arial" w:cs="Arial"/>
          <w:b/>
          <w:bCs/>
          <w:color w:val="242424"/>
          <w:sz w:val="22"/>
          <w:szCs w:val="22"/>
        </w:rPr>
        <w:t>În cadrul procedurilor judiciare, vom prezenta toate elementele și apărările care demonstrează cu tărie conformitatea acțiunilor noastre. Dacă vor fi identificate și demonstrate deficiențe, ne vom asuma întreaga responsabilitate. </w:t>
      </w:r>
    </w:p>
    <w:p w14:paraId="63ACB665" w14:textId="77777777" w:rsidR="005A03A9" w:rsidRPr="0079056D" w:rsidRDefault="005A03A9" w:rsidP="005A03A9">
      <w:pPr>
        <w:pStyle w:val="elementtoproof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73DE1DC0" w14:textId="77777777" w:rsidR="005A03A9" w:rsidRPr="0079056D" w:rsidRDefault="005A03A9" w:rsidP="005A03A9">
      <w:pPr>
        <w:pStyle w:val="elementtoproof"/>
        <w:shd w:val="clear" w:color="auto" w:fill="FFFFFF"/>
        <w:jc w:val="both"/>
        <w:rPr>
          <w:rFonts w:ascii="Arial" w:hAnsi="Arial" w:cs="Arial"/>
          <w:color w:val="242424"/>
          <w:sz w:val="22"/>
          <w:szCs w:val="22"/>
        </w:rPr>
      </w:pPr>
      <w:r w:rsidRPr="0079056D">
        <w:rPr>
          <w:rFonts w:ascii="Arial" w:hAnsi="Arial" w:cs="Arial"/>
          <w:color w:val="242424"/>
          <w:sz w:val="22"/>
          <w:szCs w:val="22"/>
        </w:rPr>
        <w:t xml:space="preserve">De asemenea, </w:t>
      </w:r>
      <w:r w:rsidRPr="0079056D">
        <w:rPr>
          <w:rFonts w:ascii="Arial" w:hAnsi="Arial" w:cs="Arial"/>
          <w:b/>
          <w:bCs/>
          <w:color w:val="242424"/>
          <w:sz w:val="22"/>
          <w:szCs w:val="22"/>
        </w:rPr>
        <w:t>ne exprimăm deplina solidaritate cu toți angajații Distrigaz Sud Rețele implicați în anchetă</w:t>
      </w:r>
      <w:r w:rsidRPr="0079056D">
        <w:rPr>
          <w:rFonts w:ascii="Arial" w:hAnsi="Arial" w:cs="Arial"/>
          <w:color w:val="242424"/>
          <w:sz w:val="22"/>
          <w:szCs w:val="22"/>
        </w:rPr>
        <w:t>. Angajamentul nostru față de siguranța persoanelor și a bunurilor rămâne absolut.</w:t>
      </w:r>
    </w:p>
    <w:p w14:paraId="2B283F85" w14:textId="77777777" w:rsidR="005A03A9" w:rsidRPr="0079056D" w:rsidRDefault="005A03A9" w:rsidP="005A03A9">
      <w:pPr>
        <w:pStyle w:val="elementtoproof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9056D">
        <w:rPr>
          <w:rFonts w:ascii="Arial" w:hAnsi="Arial" w:cs="Arial"/>
          <w:color w:val="242424"/>
          <w:sz w:val="22"/>
          <w:szCs w:val="22"/>
        </w:rPr>
        <w:t> 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3979" w14:textId="77777777" w:rsidR="00BA23FD" w:rsidRDefault="00BA23FD" w:rsidP="003D0A5B">
      <w:pPr>
        <w:spacing w:line="240" w:lineRule="auto"/>
      </w:pPr>
      <w:r>
        <w:separator/>
      </w:r>
    </w:p>
  </w:endnote>
  <w:endnote w:type="continuationSeparator" w:id="0">
    <w:p w14:paraId="006001E2" w14:textId="77777777" w:rsidR="00BA23FD" w:rsidRDefault="00BA23FD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F310" w14:textId="77777777" w:rsidR="00BA23FD" w:rsidRDefault="00BA23FD" w:rsidP="003D0A5B">
      <w:pPr>
        <w:spacing w:line="240" w:lineRule="auto"/>
      </w:pPr>
      <w:r>
        <w:separator/>
      </w:r>
    </w:p>
  </w:footnote>
  <w:footnote w:type="continuationSeparator" w:id="0">
    <w:p w14:paraId="715E1AA0" w14:textId="77777777" w:rsidR="00BA23FD" w:rsidRDefault="00BA23FD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55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6D1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87E5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4E8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3C91"/>
    <w:rsid w:val="003C431A"/>
    <w:rsid w:val="003C4DC9"/>
    <w:rsid w:val="003C721A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5D77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03A9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1700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37B4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4929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5F18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57EB"/>
    <w:rsid w:val="00930EFC"/>
    <w:rsid w:val="00932EF7"/>
    <w:rsid w:val="00933A4C"/>
    <w:rsid w:val="00933F80"/>
    <w:rsid w:val="00936CD2"/>
    <w:rsid w:val="00937D97"/>
    <w:rsid w:val="00942DA9"/>
    <w:rsid w:val="0094358A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1D9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5E0E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11F4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23FD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3A44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A724D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E5C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1351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D6F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82191"/>
    <w:rsid w:val="00F94C18"/>
    <w:rsid w:val="00F9558C"/>
    <w:rsid w:val="00F96BD5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elementtoproof">
    <w:name w:val="elementtoproof"/>
    <w:basedOn w:val="Normal"/>
    <w:rsid w:val="005A03A9"/>
    <w:pPr>
      <w:spacing w:line="240" w:lineRule="auto"/>
    </w:pPr>
    <w:rPr>
      <w:rFonts w:ascii="Aptos" w:eastAsiaTheme="minorHAnsi" w:hAnsi="Aptos" w:cs="Aptos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2025-10-30T08:42:00Z</dcterms:created>
  <dcterms:modified xsi:type="dcterms:W3CDTF">2025-10-30T08:43:00Z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