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2520D958" w:rsidR="00052A21" w:rsidRPr="00342289" w:rsidRDefault="00EF09F9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3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</w:t>
      </w:r>
      <w:r w:rsidR="00D87F5C">
        <w:rPr>
          <w:rFonts w:ascii="Arial" w:hAnsi="Arial" w:cs="Arial"/>
          <w:sz w:val="22"/>
          <w:szCs w:val="22"/>
          <w:lang w:val="ro-RO"/>
        </w:rPr>
        <w:t>dec</w:t>
      </w:r>
      <w:r w:rsidR="00342289" w:rsidRPr="00342289">
        <w:rPr>
          <w:rFonts w:ascii="Arial" w:hAnsi="Arial" w:cs="Arial"/>
          <w:sz w:val="22"/>
          <w:szCs w:val="22"/>
          <w:lang w:val="ro-RO"/>
        </w:rPr>
        <w:t>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2C33EA52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</w:t>
      </w:r>
      <w:r w:rsidR="0075202C">
        <w:rPr>
          <w:rFonts w:ascii="Arial" w:hAnsi="Arial" w:cs="Arial"/>
          <w:b/>
          <w:bCs/>
          <w:sz w:val="22"/>
          <w:szCs w:val="22"/>
          <w:lang w:val="ro-RO"/>
        </w:rPr>
        <w:t xml:space="preserve">ansamblul rezidențial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75202C">
        <w:rPr>
          <w:rFonts w:ascii="Arial" w:hAnsi="Arial" w:cs="Arial"/>
          <w:b/>
          <w:bCs/>
          <w:sz w:val="22"/>
          <w:szCs w:val="22"/>
          <w:lang w:val="ro-RO"/>
        </w:rPr>
        <w:t>Nadeș</w:t>
      </w:r>
      <w:r w:rsidR="00AC7059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EF09F9">
        <w:rPr>
          <w:rFonts w:ascii="Arial" w:hAnsi="Arial" w:cs="Arial"/>
          <w:b/>
          <w:bCs/>
          <w:sz w:val="22"/>
          <w:szCs w:val="22"/>
          <w:lang w:val="ro-RO"/>
        </w:rPr>
        <w:t>40</w:t>
      </w:r>
      <w:r w:rsidR="002E3E8C">
        <w:rPr>
          <w:rFonts w:ascii="Arial" w:hAnsi="Arial" w:cs="Arial"/>
          <w:b/>
          <w:bCs/>
          <w:sz w:val="22"/>
          <w:szCs w:val="22"/>
          <w:lang w:val="ro-RO"/>
        </w:rPr>
        <w:t>A</w:t>
      </w:r>
      <w:r w:rsidR="000013DC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>sector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>ul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F09F9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901456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 xml:space="preserve">al </w:t>
      </w:r>
      <w:r w:rsidR="009A07E2">
        <w:rPr>
          <w:rFonts w:ascii="Arial" w:hAnsi="Arial" w:cs="Arial"/>
          <w:b/>
          <w:bCs/>
          <w:sz w:val="22"/>
          <w:szCs w:val="22"/>
          <w:lang w:val="ro-RO"/>
        </w:rPr>
        <w:t>muni</w:t>
      </w:r>
      <w:r w:rsidR="0016365E">
        <w:rPr>
          <w:rFonts w:ascii="Arial" w:hAnsi="Arial" w:cs="Arial"/>
          <w:b/>
          <w:bCs/>
          <w:sz w:val="22"/>
          <w:szCs w:val="22"/>
          <w:lang w:val="ro-RO"/>
        </w:rPr>
        <w:t>cipiul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>ui</w:t>
      </w:r>
      <w:r w:rsidR="0016365E">
        <w:rPr>
          <w:rFonts w:ascii="Arial" w:hAnsi="Arial" w:cs="Arial"/>
          <w:b/>
          <w:bCs/>
          <w:sz w:val="22"/>
          <w:szCs w:val="22"/>
          <w:lang w:val="ro-RO"/>
        </w:rPr>
        <w:t xml:space="preserve"> București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4FAD902B" w14:textId="77777777" w:rsidR="00D87F5C" w:rsidRDefault="00D87F5C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5D5B7EC" w14:textId="262150A5" w:rsidR="00C21541" w:rsidRPr="00727D7A" w:rsidRDefault="00E379A1" w:rsidP="00C2154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="0075202C">
        <w:rPr>
          <w:rFonts w:ascii="Arial" w:hAnsi="Arial" w:cs="Arial"/>
          <w:sz w:val="22"/>
          <w:szCs w:val="22"/>
          <w:lang w:val="ro-RO"/>
        </w:rPr>
        <w:t>ansamblul rezidențial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EF09F9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>dec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embrie 2025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F3344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0E6046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D806EE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0E6046">
        <w:rPr>
          <w:rFonts w:ascii="Arial" w:hAnsi="Arial" w:cs="Arial"/>
          <w:b/>
          <w:bCs/>
          <w:sz w:val="22"/>
          <w:szCs w:val="22"/>
          <w:lang w:val="ro-RO"/>
        </w:rPr>
        <w:t>9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0E736DF" w14:textId="77777777" w:rsidR="00C21541" w:rsidRDefault="00C21541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7CB642A" w14:textId="71FE923B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D75FE8">
        <w:rPr>
          <w:rFonts w:ascii="Arial" w:hAnsi="Arial" w:cs="Arial"/>
          <w:b/>
          <w:bCs/>
          <w:sz w:val="22"/>
          <w:szCs w:val="22"/>
          <w:lang w:val="ro-RO"/>
        </w:rPr>
        <w:t>241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>alimentați prin intermediul ac</w:t>
      </w:r>
      <w:r w:rsidR="00D75FE8">
        <w:rPr>
          <w:rFonts w:ascii="Arial" w:hAnsi="Arial" w:cs="Arial"/>
          <w:sz w:val="22"/>
          <w:szCs w:val="22"/>
          <w:lang w:val="ro-RO"/>
        </w:rPr>
        <w:t>estei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D408" w14:textId="77777777" w:rsidR="00357AA4" w:rsidRDefault="00357AA4" w:rsidP="003D0A5B">
      <w:pPr>
        <w:spacing w:line="240" w:lineRule="auto"/>
      </w:pPr>
      <w:r>
        <w:separator/>
      </w:r>
    </w:p>
  </w:endnote>
  <w:endnote w:type="continuationSeparator" w:id="0">
    <w:p w14:paraId="4EDBDF94" w14:textId="77777777" w:rsidR="00357AA4" w:rsidRDefault="00357AA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95AE" w14:textId="77777777" w:rsidR="00357AA4" w:rsidRDefault="00357AA4" w:rsidP="003D0A5B">
      <w:pPr>
        <w:spacing w:line="240" w:lineRule="auto"/>
      </w:pPr>
      <w:r>
        <w:separator/>
      </w:r>
    </w:p>
  </w:footnote>
  <w:footnote w:type="continuationSeparator" w:id="0">
    <w:p w14:paraId="08A2BF80" w14:textId="77777777" w:rsidR="00357AA4" w:rsidRDefault="00357AA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13DC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24820"/>
    <w:rsid w:val="00032B52"/>
    <w:rsid w:val="00033112"/>
    <w:rsid w:val="00035A24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67BF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0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2F97"/>
    <w:rsid w:val="00133C5A"/>
    <w:rsid w:val="001346DE"/>
    <w:rsid w:val="00134FAC"/>
    <w:rsid w:val="00140913"/>
    <w:rsid w:val="001430CC"/>
    <w:rsid w:val="00146722"/>
    <w:rsid w:val="001531BA"/>
    <w:rsid w:val="00155BFF"/>
    <w:rsid w:val="00157C7D"/>
    <w:rsid w:val="0016061F"/>
    <w:rsid w:val="00161217"/>
    <w:rsid w:val="00162EEB"/>
    <w:rsid w:val="0016365E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4D0B"/>
    <w:rsid w:val="001C6F51"/>
    <w:rsid w:val="001C77E9"/>
    <w:rsid w:val="001C7BF8"/>
    <w:rsid w:val="001E07EF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A63FB"/>
    <w:rsid w:val="002B3467"/>
    <w:rsid w:val="002B6C1C"/>
    <w:rsid w:val="002C3998"/>
    <w:rsid w:val="002C4F53"/>
    <w:rsid w:val="002C5929"/>
    <w:rsid w:val="002D0D48"/>
    <w:rsid w:val="002D7629"/>
    <w:rsid w:val="002E0876"/>
    <w:rsid w:val="002E0985"/>
    <w:rsid w:val="002E244F"/>
    <w:rsid w:val="002E3239"/>
    <w:rsid w:val="002E3E8C"/>
    <w:rsid w:val="002E572C"/>
    <w:rsid w:val="002E5AFC"/>
    <w:rsid w:val="002E7762"/>
    <w:rsid w:val="002E7A04"/>
    <w:rsid w:val="002F21E2"/>
    <w:rsid w:val="002F5938"/>
    <w:rsid w:val="002F730F"/>
    <w:rsid w:val="003010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57AA4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2BF"/>
    <w:rsid w:val="003A176D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2B3C"/>
    <w:rsid w:val="00443587"/>
    <w:rsid w:val="004441FE"/>
    <w:rsid w:val="00450C05"/>
    <w:rsid w:val="004539F9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96392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6915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13A9"/>
    <w:rsid w:val="005527C8"/>
    <w:rsid w:val="00563CE7"/>
    <w:rsid w:val="005671C2"/>
    <w:rsid w:val="00572DFC"/>
    <w:rsid w:val="00574684"/>
    <w:rsid w:val="0057509B"/>
    <w:rsid w:val="005816DC"/>
    <w:rsid w:val="00581CE3"/>
    <w:rsid w:val="0058271D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1F93"/>
    <w:rsid w:val="00622039"/>
    <w:rsid w:val="006227E1"/>
    <w:rsid w:val="0062529E"/>
    <w:rsid w:val="006328F1"/>
    <w:rsid w:val="00632FA1"/>
    <w:rsid w:val="00634ACE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5D14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BCB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5202C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276C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C76F0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3344"/>
    <w:rsid w:val="007F584C"/>
    <w:rsid w:val="007F62DC"/>
    <w:rsid w:val="007F64A8"/>
    <w:rsid w:val="0080227C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463"/>
    <w:rsid w:val="00877C84"/>
    <w:rsid w:val="00880D53"/>
    <w:rsid w:val="00880EE9"/>
    <w:rsid w:val="0088130F"/>
    <w:rsid w:val="0088153A"/>
    <w:rsid w:val="0088210B"/>
    <w:rsid w:val="008856E2"/>
    <w:rsid w:val="00886148"/>
    <w:rsid w:val="008952EF"/>
    <w:rsid w:val="00897E40"/>
    <w:rsid w:val="008A0418"/>
    <w:rsid w:val="008A2D79"/>
    <w:rsid w:val="008B21BB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456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A07E2"/>
    <w:rsid w:val="009B2012"/>
    <w:rsid w:val="009B454E"/>
    <w:rsid w:val="009C0CE0"/>
    <w:rsid w:val="009C5370"/>
    <w:rsid w:val="009D4C62"/>
    <w:rsid w:val="009D4F21"/>
    <w:rsid w:val="009D5F3A"/>
    <w:rsid w:val="009D6205"/>
    <w:rsid w:val="009D705B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6EB5"/>
    <w:rsid w:val="00A177D8"/>
    <w:rsid w:val="00A200EF"/>
    <w:rsid w:val="00A21B40"/>
    <w:rsid w:val="00A2292A"/>
    <w:rsid w:val="00A24F04"/>
    <w:rsid w:val="00A25EB1"/>
    <w:rsid w:val="00A3127A"/>
    <w:rsid w:val="00A32B7D"/>
    <w:rsid w:val="00A33188"/>
    <w:rsid w:val="00A33EC9"/>
    <w:rsid w:val="00A34793"/>
    <w:rsid w:val="00A34BAA"/>
    <w:rsid w:val="00A47E64"/>
    <w:rsid w:val="00A50473"/>
    <w:rsid w:val="00A50662"/>
    <w:rsid w:val="00A507DC"/>
    <w:rsid w:val="00A546DE"/>
    <w:rsid w:val="00A60B97"/>
    <w:rsid w:val="00A6315D"/>
    <w:rsid w:val="00A7017E"/>
    <w:rsid w:val="00A72636"/>
    <w:rsid w:val="00A72C87"/>
    <w:rsid w:val="00A753F7"/>
    <w:rsid w:val="00A80AF8"/>
    <w:rsid w:val="00A817D7"/>
    <w:rsid w:val="00A87C22"/>
    <w:rsid w:val="00A921DA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C7059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2EB2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0BDB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1F75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3979"/>
    <w:rsid w:val="00C04B2A"/>
    <w:rsid w:val="00C0792C"/>
    <w:rsid w:val="00C12832"/>
    <w:rsid w:val="00C14DFF"/>
    <w:rsid w:val="00C21541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96C6B"/>
    <w:rsid w:val="00C97D04"/>
    <w:rsid w:val="00CA14CD"/>
    <w:rsid w:val="00CA21CB"/>
    <w:rsid w:val="00CA63B6"/>
    <w:rsid w:val="00CB11D4"/>
    <w:rsid w:val="00CB1E41"/>
    <w:rsid w:val="00CB3165"/>
    <w:rsid w:val="00CB4FC0"/>
    <w:rsid w:val="00CB56A3"/>
    <w:rsid w:val="00CB5EEA"/>
    <w:rsid w:val="00CC10BF"/>
    <w:rsid w:val="00CC1891"/>
    <w:rsid w:val="00CC1D83"/>
    <w:rsid w:val="00CC3AA2"/>
    <w:rsid w:val="00CC56AB"/>
    <w:rsid w:val="00CC7C3F"/>
    <w:rsid w:val="00CD23A5"/>
    <w:rsid w:val="00CD3D39"/>
    <w:rsid w:val="00CD4995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2C8F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405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5FE8"/>
    <w:rsid w:val="00D76707"/>
    <w:rsid w:val="00D7787D"/>
    <w:rsid w:val="00D806EE"/>
    <w:rsid w:val="00D823B2"/>
    <w:rsid w:val="00D85D8A"/>
    <w:rsid w:val="00D867CB"/>
    <w:rsid w:val="00D870C9"/>
    <w:rsid w:val="00D87F5C"/>
    <w:rsid w:val="00D90BF5"/>
    <w:rsid w:val="00D96F97"/>
    <w:rsid w:val="00DA4392"/>
    <w:rsid w:val="00DA73C9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1BAB"/>
    <w:rsid w:val="00DF61F1"/>
    <w:rsid w:val="00DF6B73"/>
    <w:rsid w:val="00DF6BB5"/>
    <w:rsid w:val="00DF6CB7"/>
    <w:rsid w:val="00DF74DC"/>
    <w:rsid w:val="00DF7EE2"/>
    <w:rsid w:val="00E021F5"/>
    <w:rsid w:val="00E02A28"/>
    <w:rsid w:val="00E10C26"/>
    <w:rsid w:val="00E10C45"/>
    <w:rsid w:val="00E16F0F"/>
    <w:rsid w:val="00E2169A"/>
    <w:rsid w:val="00E2509F"/>
    <w:rsid w:val="00E268CA"/>
    <w:rsid w:val="00E31124"/>
    <w:rsid w:val="00E3465F"/>
    <w:rsid w:val="00E37905"/>
    <w:rsid w:val="00E379A1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A74F5"/>
    <w:rsid w:val="00EB0EAC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09F9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01C1"/>
    <w:rsid w:val="00FB4790"/>
    <w:rsid w:val="00FB5BA8"/>
    <w:rsid w:val="00FC077C"/>
    <w:rsid w:val="00FD0817"/>
    <w:rsid w:val="00FD21CB"/>
    <w:rsid w:val="00FD432A"/>
    <w:rsid w:val="00FD54DA"/>
    <w:rsid w:val="00FD6B0E"/>
    <w:rsid w:val="00FE1B77"/>
    <w:rsid w:val="00FE294A"/>
    <w:rsid w:val="00FE4006"/>
    <w:rsid w:val="00FE4FE0"/>
    <w:rsid w:val="00FF0275"/>
    <w:rsid w:val="00FF220A"/>
    <w:rsid w:val="00FF3C95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2025-12-03T12:18:00Z</dcterms:created>
  <dcterms:modified xsi:type="dcterms:W3CDTF">2025-12-03T12:22:00Z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