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303276A8" w:rsidR="00052A21" w:rsidRPr="00196465" w:rsidRDefault="00550989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30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729E4">
        <w:rPr>
          <w:rFonts w:ascii="Arial" w:eastAsia="Arial" w:hAnsi="Arial" w:cs="Arial"/>
          <w:sz w:val="22"/>
          <w:szCs w:val="22"/>
          <w:lang w:val="ro-RO"/>
        </w:rPr>
        <w:t>Ianuarie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8729E4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225E729" w14:textId="3BB68787" w:rsidR="00CC1D83" w:rsidRPr="00694BAD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imobilul situat </w:t>
      </w:r>
      <w:r w:rsidR="00586165">
        <w:rPr>
          <w:rFonts w:ascii="Arial" w:hAnsi="Arial" w:cs="Arial"/>
          <w:b/>
          <w:bCs/>
          <w:sz w:val="22"/>
          <w:szCs w:val="22"/>
          <w:lang w:val="ro-RO"/>
        </w:rPr>
        <w:t>pe aleea Pantelimon</w:t>
      </w:r>
      <w:r w:rsidR="00EA2FEB" w:rsidRPr="00EA2FEB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nr.</w:t>
      </w:r>
      <w:r w:rsidR="0016672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B21B79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586165">
        <w:rPr>
          <w:rFonts w:ascii="Arial" w:hAnsi="Arial" w:cs="Arial"/>
          <w:b/>
          <w:bCs/>
          <w:sz w:val="22"/>
          <w:szCs w:val="22"/>
          <w:lang w:val="ro-RO"/>
        </w:rPr>
        <w:t>0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, bl.</w:t>
      </w:r>
      <w:r w:rsidR="00586165">
        <w:rPr>
          <w:rFonts w:ascii="Arial" w:hAnsi="Arial" w:cs="Arial"/>
          <w:b/>
          <w:bCs/>
          <w:sz w:val="22"/>
          <w:szCs w:val="22"/>
          <w:lang w:val="ro-RO"/>
        </w:rPr>
        <w:t>9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8E6171">
        <w:rPr>
          <w:rFonts w:ascii="Arial" w:hAnsi="Arial" w:cs="Arial"/>
          <w:b/>
          <w:bCs/>
          <w:sz w:val="22"/>
          <w:szCs w:val="22"/>
          <w:lang w:val="ro-RO"/>
        </w:rPr>
        <w:t xml:space="preserve">Sc. </w:t>
      </w:r>
      <w:r w:rsidR="00586165">
        <w:rPr>
          <w:rFonts w:ascii="Arial" w:hAnsi="Arial" w:cs="Arial"/>
          <w:b/>
          <w:bCs/>
          <w:sz w:val="22"/>
          <w:szCs w:val="22"/>
          <w:lang w:val="ro-RO"/>
        </w:rPr>
        <w:t>A</w:t>
      </w:r>
      <w:r w:rsidR="008E6171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335436">
        <w:rPr>
          <w:rFonts w:ascii="Arial" w:hAnsi="Arial" w:cs="Arial"/>
          <w:b/>
          <w:bCs/>
          <w:sz w:val="22"/>
          <w:szCs w:val="22"/>
          <w:lang w:val="ro-RO"/>
        </w:rPr>
        <w:t xml:space="preserve">sectorul </w:t>
      </w:r>
      <w:r w:rsidR="00550989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335436">
        <w:rPr>
          <w:rFonts w:ascii="Arial" w:hAnsi="Arial" w:cs="Arial"/>
          <w:b/>
          <w:bCs/>
          <w:sz w:val="22"/>
          <w:szCs w:val="22"/>
          <w:lang w:val="ro-RO"/>
        </w:rPr>
        <w:t xml:space="preserve"> al municipiului București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61D7D48B" w14:textId="77777777" w:rsidR="00694BAD" w:rsidRDefault="00694BAD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4282476" w14:textId="5135C0E6" w:rsidR="00CC1D83" w:rsidRPr="00753C77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694BAD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550989">
        <w:rPr>
          <w:rFonts w:ascii="Arial" w:hAnsi="Arial" w:cs="Arial"/>
          <w:b/>
          <w:bCs/>
          <w:sz w:val="22"/>
          <w:szCs w:val="22"/>
          <w:lang w:val="ro-RO"/>
        </w:rPr>
        <w:t>astăzi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550989">
        <w:rPr>
          <w:rFonts w:ascii="Arial" w:hAnsi="Arial" w:cs="Arial"/>
          <w:b/>
          <w:bCs/>
          <w:sz w:val="22"/>
          <w:szCs w:val="22"/>
          <w:lang w:val="ro-RO"/>
        </w:rPr>
        <w:t>30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2B9E">
        <w:rPr>
          <w:rFonts w:ascii="Arial" w:hAnsi="Arial" w:cs="Arial"/>
          <w:b/>
          <w:bCs/>
          <w:sz w:val="22"/>
          <w:szCs w:val="22"/>
          <w:lang w:val="ro-RO"/>
        </w:rPr>
        <w:t>ianuarie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202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586165">
        <w:rPr>
          <w:rFonts w:ascii="Arial" w:hAnsi="Arial" w:cs="Arial"/>
          <w:b/>
          <w:bCs/>
          <w:sz w:val="22"/>
          <w:szCs w:val="22"/>
          <w:lang w:val="ro-RO"/>
        </w:rPr>
        <w:t>18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586165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F66C0B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116F6B11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51732D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F66C0B">
        <w:rPr>
          <w:rFonts w:ascii="Arial" w:hAnsi="Arial" w:cs="Arial"/>
          <w:b/>
          <w:bCs/>
          <w:sz w:val="22"/>
          <w:szCs w:val="22"/>
          <w:lang w:val="ro-RO"/>
        </w:rPr>
        <w:t>4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CE1F2B" w14:textId="77777777" w:rsidR="00B71A46" w:rsidRPr="001763A3" w:rsidRDefault="00B71A46" w:rsidP="00B71A46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392C" w14:textId="77777777" w:rsidR="00924F6C" w:rsidRDefault="00924F6C" w:rsidP="003D0A5B">
      <w:pPr>
        <w:spacing w:line="240" w:lineRule="auto"/>
      </w:pPr>
      <w:r>
        <w:separator/>
      </w:r>
    </w:p>
  </w:endnote>
  <w:endnote w:type="continuationSeparator" w:id="0">
    <w:p w14:paraId="000F627C" w14:textId="77777777" w:rsidR="00924F6C" w:rsidRDefault="00924F6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BF2EE" w14:textId="77777777" w:rsidR="00924F6C" w:rsidRDefault="00924F6C" w:rsidP="003D0A5B">
      <w:pPr>
        <w:spacing w:line="240" w:lineRule="auto"/>
      </w:pPr>
      <w:r>
        <w:separator/>
      </w:r>
    </w:p>
  </w:footnote>
  <w:footnote w:type="continuationSeparator" w:id="0">
    <w:p w14:paraId="0D5EF01D" w14:textId="77777777" w:rsidR="00924F6C" w:rsidRDefault="00924F6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672B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6465"/>
    <w:rsid w:val="001A1658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2B9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1E1F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436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A7B75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0EA2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1732D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0989"/>
    <w:rsid w:val="005527C8"/>
    <w:rsid w:val="00563CE7"/>
    <w:rsid w:val="005671C2"/>
    <w:rsid w:val="00572DFC"/>
    <w:rsid w:val="00574684"/>
    <w:rsid w:val="0057509B"/>
    <w:rsid w:val="005816DC"/>
    <w:rsid w:val="00581CE3"/>
    <w:rsid w:val="00586165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0ED2"/>
    <w:rsid w:val="00692103"/>
    <w:rsid w:val="00693B6C"/>
    <w:rsid w:val="00693B79"/>
    <w:rsid w:val="00694BAD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3261"/>
    <w:rsid w:val="007477EA"/>
    <w:rsid w:val="00753C77"/>
    <w:rsid w:val="007605A4"/>
    <w:rsid w:val="0076153C"/>
    <w:rsid w:val="00765D51"/>
    <w:rsid w:val="00766B68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3725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29E4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6171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4F6C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D7416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1B79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67834"/>
    <w:rsid w:val="00B71A46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AD8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2DDA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2FEB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66C0B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1D22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2026-01-30T18:51:00Z</dcterms:created>
  <dcterms:modified xsi:type="dcterms:W3CDTF">2026-01-30T18:54:00Z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